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767E" w:rsidRDefault="00A11F92">
      <w:r>
        <w:rPr>
          <w:b/>
        </w:rPr>
        <w:t>Figure 1</w:t>
      </w:r>
      <w:r>
        <w:t xml:space="preserve">. Distribution of </w:t>
      </w:r>
      <w:r>
        <w:rPr>
          <w:i/>
        </w:rPr>
        <w:t>Quercus pyrenaica</w:t>
      </w:r>
      <w:r>
        <w:t xml:space="preserve"> </w:t>
      </w:r>
      <w:r>
        <w:t xml:space="preserve">forests in the Iberian Peninsula (a) and in Sierra Nevada mountain range (b). Different colors indicate oak-population clusters identified in Sierra Nevada (Pérez-Luque et al. 2015). For each population, a grid with the MODIS pixels is shown (see Material </w:t>
      </w:r>
      <w:r>
        <w:t>and methods). Detailed location of the dendroecological sampling sites: northern (San Juan, SJ) (c), and southern ones (Cáñar: CA-Low and CA-High) (d). Color orthophotography of 2009 from Regional Ministry of the Environment.</w:t>
      </w:r>
    </w:p>
    <w:p w:rsidR="000F1525" w:rsidRDefault="00A11F92">
      <w:r>
        <w:rPr>
          <w:b/>
        </w:rPr>
        <w:t>Figure 2.</w:t>
      </w:r>
      <w:r>
        <w:t xml:space="preserve"> </w:t>
      </w:r>
      <w:r>
        <w:rPr>
          <w:b/>
          <w:i/>
        </w:rPr>
        <w:t>a)</w:t>
      </w:r>
      <w:r>
        <w:t xml:space="preserve"> EVI standardiz</w:t>
      </w:r>
      <w:r>
        <w:t xml:space="preserve">ed anomaly during the period 2000-2016 for northern and southern populations. Error bars show standard error. See main text for details on EVI calculation. </w:t>
      </w:r>
      <w:r>
        <w:rPr>
          <w:b/>
          <w:i/>
        </w:rPr>
        <w:t>b)</w:t>
      </w:r>
      <w:r>
        <w:t xml:space="preserve"> Percentage of pixels showing browning, greening or no changes during the 2005 and 2012 drought ev</w:t>
      </w:r>
      <w:r>
        <w:t>ents according to EVI standardized anomalies. See main text for an explanation of greening and browning.</w:t>
      </w:r>
    </w:p>
    <w:p w:rsidR="00F2767E" w:rsidRDefault="000F1525">
      <w:r>
        <w:rPr>
          <w:b/>
        </w:rPr>
        <w:t xml:space="preserve"> </w:t>
      </w:r>
      <w:r w:rsidR="00A11F92">
        <w:rPr>
          <w:b/>
        </w:rPr>
        <w:t>Figure 3.</w:t>
      </w:r>
      <w:r w:rsidR="00A11F92">
        <w:t xml:space="preserve"> Basal Area Increment (BAI) chronologies of </w:t>
      </w:r>
      <w:r w:rsidR="00A11F92">
        <w:rPr>
          <w:i/>
        </w:rPr>
        <w:t>Q. pyrenaica</w:t>
      </w:r>
      <w:r w:rsidR="00A11F92">
        <w:t xml:space="preserve"> for northern population (SJ; </w:t>
      </w:r>
      <w:r w:rsidR="00A11F92">
        <w:rPr>
          <w:i/>
        </w:rPr>
        <w:t>red</w:t>
      </w:r>
      <w:r w:rsidR="00A11F92">
        <w:t xml:space="preserve">) and southern ones: low-elevation (CA-Low; </w:t>
      </w:r>
      <w:r w:rsidR="00A11F92">
        <w:rPr>
          <w:i/>
        </w:rPr>
        <w:t>green</w:t>
      </w:r>
      <w:r w:rsidR="00A11F92">
        <w:t>)</w:t>
      </w:r>
      <w:r w:rsidR="00A11F92">
        <w:t xml:space="preserve"> and high-elevation (CA-High, </w:t>
      </w:r>
      <w:r w:rsidR="00A11F92">
        <w:rPr>
          <w:i/>
        </w:rPr>
        <w:t>blue</w:t>
      </w:r>
      <w:r w:rsidR="00A11F92">
        <w:t>) sites. Shading areas correspond to standard error of the mean. Number of series is displayed in the upper plot. Only years replicated with # series &gt; 5 are shown. Linear trends since 1975 are indicated for all sites (num</w:t>
      </w:r>
      <w:r w:rsidR="00A11F92">
        <w:t xml:space="preserve">bers indicate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11F92">
        <w:t xml:space="preserve"> values; asterisks indicate significant linear trend, </w:t>
      </w:r>
      <w:r w:rsidR="00A11F92">
        <w:rPr>
          <w:i/>
        </w:rPr>
        <w:t>p &lt; 0.001</w:t>
      </w:r>
      <w:r w:rsidR="00A11F92">
        <w:t>).</w:t>
      </w:r>
    </w:p>
    <w:p w:rsidR="00F2767E" w:rsidRDefault="00A11F92">
      <w:bookmarkStart w:id="0" w:name="section-2"/>
      <w:bookmarkEnd w:id="0"/>
      <w:r>
        <w:rPr>
          <w:b/>
        </w:rPr>
        <w:t>Figure 4.</w:t>
      </w:r>
      <w:r>
        <w:t xml:space="preserve"> Comparison of median growth change (</w:t>
      </w:r>
      <m:oMath>
        <m:r>
          <w:rPr>
            <w:rFonts w:ascii="Cambria Math" w:hAnsi="Cambria Math"/>
          </w:rPr>
          <m:t>GC</m:t>
        </m:r>
      </m:oMath>
      <w:r>
        <w:t xml:space="preserve">) following Nowacki and Abrams (1997) for </w:t>
      </w:r>
      <w:r>
        <w:rPr>
          <w:i/>
        </w:rPr>
        <w:t>Q. pyrenaica</w:t>
      </w:r>
      <w:r>
        <w:t xml:space="preserve"> sites. Dashed black lines indicate a threshold of 50% of GC (see </w:t>
      </w:r>
      <w:r>
        <w:t>Material and methods). Note that y-axes do not correspond in all of the three panels for the sake of clarity. Error bars indicate standard error.</w:t>
      </w:r>
    </w:p>
    <w:p w:rsidR="00F2767E" w:rsidRDefault="00A11F92">
      <w:bookmarkStart w:id="1" w:name="section-3"/>
      <w:bookmarkEnd w:id="1"/>
      <w:r>
        <w:rPr>
          <w:b/>
        </w:rPr>
        <w:t>Figure 5.</w:t>
      </w:r>
      <w:r>
        <w:t xml:space="preserve"> Resilience metrics of tree-growth for eight severe drought events since 1950 (see main text for d</w:t>
      </w:r>
      <w:r>
        <w:t xml:space="preserve">etails) as a function of drought severity. </w:t>
      </w:r>
      <w:r>
        <w:rPr>
          <w:i/>
        </w:rPr>
        <w:t>Left</w:t>
      </w:r>
      <w:r>
        <w:t>: Resistance (</w:t>
      </w:r>
      <w:r>
        <w:rPr>
          <w:i/>
        </w:rPr>
        <w:t>Rt</w:t>
      </w:r>
      <w:r>
        <w:t xml:space="preserve">); </w:t>
      </w:r>
      <w:r>
        <w:rPr>
          <w:i/>
        </w:rPr>
        <w:t>Center</w:t>
      </w:r>
      <w:r>
        <w:t>: Recovery (</w:t>
      </w:r>
      <w:r>
        <w:rPr>
          <w:i/>
        </w:rPr>
        <w:t>Rc</w:t>
      </w:r>
      <w:r>
        <w:t xml:space="preserve">); </w:t>
      </w:r>
      <w:r>
        <w:rPr>
          <w:i/>
        </w:rPr>
        <w:t>Right</w:t>
      </w:r>
      <w:r>
        <w:t>: Resilience (</w:t>
      </w:r>
      <w:r>
        <w:rPr>
          <w:i/>
        </w:rPr>
        <w:t>Rs</w:t>
      </w:r>
      <w:r>
        <w:t>). Points indicate resilience metrics for oak populations: SJ (</w:t>
      </w:r>
      <w:r>
        <w:rPr>
          <w:i/>
        </w:rPr>
        <w:t>red</w:t>
      </w:r>
      <w:r>
        <w:t>), CA-High (</w:t>
      </w:r>
      <w:r>
        <w:rPr>
          <w:i/>
        </w:rPr>
        <w:t>blue</w:t>
      </w:r>
      <w:r>
        <w:t>) and CA-Low (</w:t>
      </w:r>
      <w:r>
        <w:rPr>
          <w:i/>
        </w:rPr>
        <w:t>green</w:t>
      </w:r>
      <w:r>
        <w:t xml:space="preserve">). Resilience metrics were computed for each </w:t>
      </w:r>
      <w:r>
        <w:t>population (sample depth &gt; 10) and drought event. Gray lines represent overall relationships for each Resilience metrics.</w:t>
      </w:r>
    </w:p>
    <w:p w:rsidR="00F2767E" w:rsidRDefault="00A11F92">
      <w:bookmarkStart w:id="2" w:name="section-4"/>
      <w:bookmarkEnd w:id="2"/>
      <w:r>
        <w:rPr>
          <w:b/>
        </w:rPr>
        <w:t>Figure 6.</w:t>
      </w:r>
      <w:r>
        <w:t xml:space="preserve"> Comparison of the response of </w:t>
      </w:r>
      <w:r>
        <w:rPr>
          <w:i/>
        </w:rPr>
        <w:t>Q. pyrenaica</w:t>
      </w:r>
      <w:r>
        <w:t xml:space="preserve"> forests to drought in terms of resistance, recovery, and resilience of greenne</w:t>
      </w:r>
      <w:r>
        <w:t>ss (a) and tree growth (b). For EVI, northern populations (</w:t>
      </w:r>
      <w:r>
        <w:rPr>
          <w:i/>
        </w:rPr>
        <w:t>red circle</w:t>
      </w:r>
      <w:r>
        <w:t>) were compared with southern ones (</w:t>
      </w:r>
      <w:r>
        <w:rPr>
          <w:i/>
        </w:rPr>
        <w:t>green circle</w:t>
      </w:r>
      <w:r>
        <w:t xml:space="preserve">). For BAI, the more xeric northern population (San Juan, SJ; </w:t>
      </w:r>
      <w:r>
        <w:rPr>
          <w:i/>
        </w:rPr>
        <w:t>red circle</w:t>
      </w:r>
      <w:r>
        <w:t>) was compared with the two southern populations, Cáñar-High (CA-Hi</w:t>
      </w:r>
      <w:r>
        <w:t xml:space="preserve">gh; </w:t>
      </w:r>
      <w:r>
        <w:rPr>
          <w:i/>
        </w:rPr>
        <w:t>blue circle</w:t>
      </w:r>
      <w:r>
        <w:t xml:space="preserve">) and Cáñar-Low (CA-Low; </w:t>
      </w:r>
      <w:r>
        <w:rPr>
          <w:i/>
        </w:rPr>
        <w:t>green circle</w:t>
      </w:r>
      <w:r>
        <w:t xml:space="preserve">). Different letters indicate significant </w:t>
      </w:r>
      <w:r>
        <w:rPr>
          <w:i/>
        </w:rPr>
        <w:t>post hoc</w:t>
      </w:r>
      <w:r>
        <w:t xml:space="preserve"> differences between groups (see Material and methods for details).</w:t>
      </w:r>
    </w:p>
    <w:p w:rsidR="00F2767E" w:rsidRDefault="00A11F92">
      <w:bookmarkStart w:id="3" w:name="section-5"/>
      <w:bookmarkEnd w:id="3"/>
      <w:r>
        <w:rPr>
          <w:b/>
        </w:rPr>
        <w:t>Figure 7.</w:t>
      </w:r>
      <w:r>
        <w:t xml:space="preserve"> Correlation coefficients found by relating tree-ring residual chronologie</w:t>
      </w:r>
      <w:r>
        <w:t xml:space="preserve">s (RWI) of </w:t>
      </w:r>
      <w:r>
        <w:rPr>
          <w:i/>
        </w:rPr>
        <w:t>Q. pyrenaica</w:t>
      </w:r>
      <w:r>
        <w:t xml:space="preserve"> and monthly climatic data: precipitation and 6-month SPEI (a), minimum (b) and maximum (c) temperatures. </w:t>
      </w:r>
      <w:r>
        <w:rPr>
          <w:i/>
        </w:rPr>
        <w:t>green</w:t>
      </w:r>
      <w:r>
        <w:t xml:space="preserve"> bars: northern site (SJ); </w:t>
      </w:r>
      <w:r>
        <w:rPr>
          <w:i/>
        </w:rPr>
        <w:t>light blue</w:t>
      </w:r>
      <w:r>
        <w:t xml:space="preserve"> </w:t>
      </w:r>
      <w:r>
        <w:t xml:space="preserve">bars: low-elevation southern site (CA-Low); and </w:t>
      </w:r>
      <w:r>
        <w:rPr>
          <w:i/>
        </w:rPr>
        <w:t>dark blue</w:t>
      </w:r>
      <w:r>
        <w:t xml:space="preserve"> bars: high-elevation southern site (CA-High). Asterisks indicate significant (</w:t>
      </w:r>
      <m:oMath>
        <m: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&lt;0.05</m:t>
        </m:r>
      </m:oMath>
      <w:r>
        <w:t>) correlation coefficients.</w:t>
      </w:r>
    </w:p>
    <w:p w:rsidR="000F1525" w:rsidRDefault="000F1525">
      <w:pPr>
        <w:spacing w:before="0" w:after="200" w:line="240" w:lineRule="auto"/>
      </w:pPr>
      <w:r>
        <w:br w:type="page"/>
      </w:r>
    </w:p>
    <w:p w:rsidR="000F1525" w:rsidRPr="000F1525" w:rsidRDefault="000F1525">
      <w:pPr>
        <w:pStyle w:val="Bibliografa"/>
        <w:rPr>
          <w:b/>
          <w:bCs/>
        </w:rPr>
      </w:pPr>
      <w:r w:rsidRPr="000F1525">
        <w:rPr>
          <w:b/>
          <w:bCs/>
        </w:rPr>
        <w:lastRenderedPageBreak/>
        <w:t>Figure 1</w:t>
      </w:r>
    </w:p>
    <w:p w:rsidR="000F1525" w:rsidRDefault="000F1525" w:rsidP="000F1525">
      <w:pPr>
        <w:pStyle w:val="Bibliografa"/>
      </w:pPr>
      <w:r>
        <w:rPr>
          <w:noProof/>
        </w:rPr>
        <w:drawing>
          <wp:inline distT="0" distB="0" distL="0" distR="0" wp14:anchorId="09ECB8C3" wp14:editId="5978B6E7">
            <wp:extent cx="5049471" cy="714375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out/fig/geomap/mapa_situacion_v2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471" cy="714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0F1525" w:rsidRDefault="000F1525">
      <w:pPr>
        <w:pStyle w:val="Bibliografa"/>
        <w:rPr>
          <w:b/>
          <w:bCs/>
        </w:rPr>
      </w:pPr>
      <w:r w:rsidRPr="000F1525">
        <w:rPr>
          <w:b/>
          <w:bCs/>
        </w:rPr>
        <w:lastRenderedPageBreak/>
        <w:t>Figure 2</w:t>
      </w:r>
    </w:p>
    <w:p w:rsidR="000F1525" w:rsidRDefault="000F1525" w:rsidP="000F1525">
      <w:pPr>
        <w:pStyle w:val="Bibliografa"/>
        <w:rPr>
          <w:b/>
          <w:bCs/>
        </w:rPr>
      </w:pPr>
      <w:r>
        <w:rPr>
          <w:noProof/>
        </w:rPr>
        <w:drawing>
          <wp:inline distT="0" distB="0" distL="0" distR="0" wp14:anchorId="49827DE9" wp14:editId="2E252073">
            <wp:extent cx="6324600" cy="3541518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2ab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:rsidR="000F1525" w:rsidRDefault="000F1525">
      <w:pPr>
        <w:pStyle w:val="Bibliografa"/>
        <w:rPr>
          <w:b/>
          <w:bCs/>
        </w:rPr>
      </w:pPr>
      <w:r>
        <w:rPr>
          <w:b/>
          <w:bCs/>
        </w:rPr>
        <w:lastRenderedPageBreak/>
        <w:t>Figure 3</w:t>
      </w:r>
    </w:p>
    <w:p w:rsidR="000F1525" w:rsidRDefault="000F1525" w:rsidP="000F1525">
      <w:pPr>
        <w:pStyle w:val="Bibliografa"/>
        <w:rPr>
          <w:b/>
          <w:bCs/>
        </w:rPr>
      </w:pPr>
      <w:r>
        <w:rPr>
          <w:noProof/>
        </w:rPr>
        <w:drawing>
          <wp:inline distT="0" distB="0" distL="0" distR="0" wp14:anchorId="1F5020DB" wp14:editId="60093777">
            <wp:extent cx="6324600" cy="354151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4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:rsidR="000F1525" w:rsidRDefault="000F1525" w:rsidP="000F1525">
      <w:pPr>
        <w:pStyle w:val="Bibliografa"/>
        <w:ind w:left="0" w:firstLine="0"/>
        <w:rPr>
          <w:b/>
          <w:bCs/>
        </w:rPr>
      </w:pPr>
      <w:r>
        <w:rPr>
          <w:b/>
          <w:bCs/>
        </w:rPr>
        <w:lastRenderedPageBreak/>
        <w:t>Figure 4</w:t>
      </w:r>
    </w:p>
    <w:p w:rsidR="000F1525" w:rsidRDefault="000F1525" w:rsidP="000F1525">
      <w:pPr>
        <w:pStyle w:val="Bibliografa"/>
        <w:rPr>
          <w:b/>
          <w:bCs/>
        </w:rPr>
      </w:pPr>
      <w:r>
        <w:rPr>
          <w:noProof/>
        </w:rPr>
        <w:drawing>
          <wp:inline distT="0" distB="0" distL="0" distR="0" wp14:anchorId="64356FBF" wp14:editId="710CE7CC">
            <wp:extent cx="6324600" cy="3541518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5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:rsidR="000F1525" w:rsidRDefault="000F1525">
      <w:pPr>
        <w:pStyle w:val="Bibliografa"/>
        <w:rPr>
          <w:b/>
          <w:bCs/>
        </w:rPr>
      </w:pPr>
      <w:r>
        <w:rPr>
          <w:b/>
          <w:bCs/>
        </w:rPr>
        <w:lastRenderedPageBreak/>
        <w:t>Figure 5</w:t>
      </w:r>
    </w:p>
    <w:p w:rsidR="000F1525" w:rsidRDefault="000F1525" w:rsidP="000F1525">
      <w:pPr>
        <w:pStyle w:val="Bibliografa"/>
        <w:rPr>
          <w:b/>
          <w:bCs/>
        </w:rPr>
      </w:pPr>
      <w:r>
        <w:rPr>
          <w:noProof/>
        </w:rPr>
        <w:drawing>
          <wp:inline distT="0" distB="0" distL="0" distR="0" wp14:anchorId="0A9121AC" wp14:editId="7CC589EA">
            <wp:extent cx="6324600" cy="3541518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6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:rsidR="000F1525" w:rsidRDefault="000F1525">
      <w:pPr>
        <w:pStyle w:val="Bibliografa"/>
        <w:rPr>
          <w:b/>
          <w:bCs/>
        </w:rPr>
      </w:pPr>
      <w:r>
        <w:rPr>
          <w:b/>
          <w:bCs/>
        </w:rPr>
        <w:lastRenderedPageBreak/>
        <w:t>Figure 6</w:t>
      </w:r>
    </w:p>
    <w:p w:rsidR="000F1525" w:rsidRDefault="000F1525" w:rsidP="000F1525">
      <w:pPr>
        <w:pStyle w:val="Bibliografa"/>
        <w:rPr>
          <w:b/>
          <w:bCs/>
        </w:rPr>
      </w:pPr>
      <w:r>
        <w:rPr>
          <w:noProof/>
        </w:rPr>
        <w:drawing>
          <wp:inline distT="0" distB="0" distL="0" distR="0" wp14:anchorId="2023D1BF" wp14:editId="19325F09">
            <wp:extent cx="6324600" cy="718638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7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7186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  <w:r>
        <w:rPr>
          <w:b/>
          <w:bCs/>
        </w:rPr>
        <w:br w:type="page"/>
      </w:r>
    </w:p>
    <w:p w:rsidR="000F1525" w:rsidRDefault="000F1525">
      <w:pPr>
        <w:pStyle w:val="Bibliografa"/>
        <w:rPr>
          <w:b/>
          <w:bCs/>
        </w:rPr>
      </w:pPr>
      <w:r>
        <w:rPr>
          <w:b/>
          <w:bCs/>
        </w:rPr>
        <w:lastRenderedPageBreak/>
        <w:t>Figure 7</w:t>
      </w:r>
    </w:p>
    <w:p w:rsidR="000F1525" w:rsidRPr="000F1525" w:rsidRDefault="000F1525">
      <w:pPr>
        <w:pStyle w:val="Bibliografa"/>
        <w:rPr>
          <w:b/>
          <w:bCs/>
        </w:rPr>
      </w:pPr>
      <w:r>
        <w:rPr>
          <w:noProof/>
        </w:rPr>
        <w:drawing>
          <wp:inline distT="0" distB="0" distL="0" distR="0" wp14:anchorId="43492689" wp14:editId="68582604">
            <wp:extent cx="6324600" cy="3541518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8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F1525" w:rsidRPr="000F1525" w:rsidSect="00683440">
      <w:pgSz w:w="12240" w:h="15840"/>
      <w:pgMar w:top="1134" w:right="1134" w:bottom="1134" w:left="1134" w:header="720" w:footer="720" w:gutter="0"/>
      <w:lnNumType w:countBy="1" w:restart="continuous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1F92" w:rsidRDefault="00A11F92">
      <w:pPr>
        <w:spacing w:before="0" w:after="0" w:line="240" w:lineRule="auto"/>
      </w:pPr>
      <w:r>
        <w:separator/>
      </w:r>
    </w:p>
  </w:endnote>
  <w:endnote w:type="continuationSeparator" w:id="0">
    <w:p w:rsidR="00A11F92" w:rsidRDefault="00A11F9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1F92" w:rsidRDefault="00A11F92">
      <w:r>
        <w:separator/>
      </w:r>
    </w:p>
  </w:footnote>
  <w:footnote w:type="continuationSeparator" w:id="0">
    <w:p w:rsidR="00A11F92" w:rsidRDefault="00A11F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B349DFE"/>
    <w:multiLevelType w:val="multilevel"/>
    <w:tmpl w:val="54C439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A47EE9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EA1050C4"/>
    <w:multiLevelType w:val="multilevel"/>
    <w:tmpl w:val="E60283FC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58A9882"/>
    <w:multiLevelType w:val="multilevel"/>
    <w:tmpl w:val="3106F92A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C1AE401"/>
    <w:multiLevelType w:val="multilevel"/>
    <w:tmpl w:val="4B5ECEF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3D4ABF41"/>
    <w:multiLevelType w:val="multilevel"/>
    <w:tmpl w:val="4C74926A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AE73AA5"/>
    <w:multiLevelType w:val="multilevel"/>
    <w:tmpl w:val="9CD4E85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6201F114"/>
    <w:multiLevelType w:val="multilevel"/>
    <w:tmpl w:val="B6380E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75C20D2B"/>
    <w:multiLevelType w:val="multilevel"/>
    <w:tmpl w:val="7AF23D68"/>
    <w:lvl w:ilvl="0">
      <w:start w:val="3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6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>
    <w:abstractNumId w:val="5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8">
    <w:abstractNumId w:val="8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F1525"/>
    <w:rsid w:val="004E29B3"/>
    <w:rsid w:val="00590D07"/>
    <w:rsid w:val="00784D58"/>
    <w:rsid w:val="008D6863"/>
    <w:rsid w:val="00A11F92"/>
    <w:rsid w:val="00B86B75"/>
    <w:rsid w:val="00BC48D5"/>
    <w:rsid w:val="00C36279"/>
    <w:rsid w:val="00E315A3"/>
    <w:rsid w:val="00F2767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E67F404"/>
  <w15:docId w15:val="{4D157BBF-CEA1-8F4A-A610-D9CFC5B07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heading 6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41949"/>
    <w:pPr>
      <w:spacing w:before="180" w:after="180" w:line="360" w:lineRule="auto"/>
    </w:pPr>
    <w:rPr>
      <w:sz w:val="20"/>
    </w:rPr>
  </w:style>
  <w:style w:type="paragraph" w:styleId="Ttulo1">
    <w:name w:val="heading 1"/>
    <w:basedOn w:val="Normal"/>
    <w:next w:val="Normal"/>
    <w:autoRedefine/>
    <w:uiPriority w:val="9"/>
    <w:qFormat/>
    <w:rsid w:val="0006512E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FD5C5D"/>
    <w:pPr>
      <w:keepNext/>
      <w:keepLines/>
      <w:spacing w:before="320" w:after="120" w:line="480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Ttulo3">
    <w:name w:val="heading 3"/>
    <w:basedOn w:val="Ttulo2"/>
    <w:next w:val="Normal"/>
    <w:autoRedefine/>
    <w:uiPriority w:val="9"/>
    <w:unhideWhenUsed/>
    <w:qFormat/>
    <w:rsid w:val="0006512E"/>
    <w:pPr>
      <w:outlineLvl w:val="2"/>
    </w:pPr>
  </w:style>
  <w:style w:type="paragraph" w:styleId="Ttulo4">
    <w:name w:val="heading 4"/>
    <w:basedOn w:val="Ttulo3"/>
    <w:next w:val="Normal"/>
    <w:uiPriority w:val="9"/>
    <w:unhideWhenUsed/>
    <w:qFormat/>
    <w:rsid w:val="00792BF1"/>
    <w:pPr>
      <w:outlineLvl w:val="3"/>
    </w:pPr>
    <w:rPr>
      <w:lang w:val="es-ES"/>
    </w:rPr>
  </w:style>
  <w:style w:type="paragraph" w:styleId="Ttulo5">
    <w:name w:val="heading 5"/>
    <w:basedOn w:val="Ttulo4"/>
    <w:next w:val="Normal"/>
    <w:uiPriority w:val="9"/>
    <w:unhideWhenUsed/>
    <w:qFormat/>
    <w:rsid w:val="00A701F6"/>
    <w:pPr>
      <w:pageBreakBefore/>
      <w:outlineLvl w:val="4"/>
    </w:pPr>
  </w:style>
  <w:style w:type="paragraph" w:styleId="Ttulo6">
    <w:name w:val="heading 6"/>
    <w:basedOn w:val="Normal"/>
    <w:next w:val="Normal"/>
    <w:link w:val="Ttulo6Car"/>
    <w:qFormat/>
    <w:rsid w:val="00380EBE"/>
    <w:pPr>
      <w:keepNext/>
      <w:keepLines/>
      <w:pageBreakBefore/>
      <w:spacing w:before="200" w:after="0"/>
      <w:outlineLvl w:val="5"/>
    </w:pPr>
    <w:rPr>
      <w:rFonts w:asciiTheme="majorHAnsi" w:eastAsiaTheme="majorEastAsia" w:hAnsiTheme="majorHAnsi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tulo">
    <w:name w:val="Title"/>
    <w:basedOn w:val="Normal"/>
    <w:next w:val="Normal"/>
    <w:qFormat/>
    <w:rsid w:val="00EC1535"/>
    <w:pPr>
      <w:keepNext/>
      <w:keepLines/>
      <w:spacing w:before="480" w:after="720"/>
    </w:pPr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Subttulo">
    <w:name w:val="Subtitle"/>
    <w:basedOn w:val="Ttulo"/>
    <w:next w:val="Normal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Normal"/>
    <w:qFormat/>
    <w:rsid w:val="0006512E"/>
    <w:pPr>
      <w:keepNext/>
      <w:keepLines/>
      <w:spacing w:before="120" w:after="320"/>
    </w:pPr>
    <w:rPr>
      <w:rFonts w:ascii="Arial" w:hAnsi="Arial"/>
    </w:rPr>
  </w:style>
  <w:style w:type="paragraph" w:styleId="Fecha">
    <w:name w:val="Date"/>
    <w:next w:val="Normal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qFormat/>
    <w:pPr>
      <w:keepNext/>
      <w:keepLines/>
      <w:spacing w:before="300" w:after="300"/>
    </w:pPr>
    <w:rPr>
      <w:szCs w:val="20"/>
    </w:rPr>
  </w:style>
  <w:style w:type="paragraph" w:styleId="Bibliografa">
    <w:name w:val="Bibliography"/>
    <w:basedOn w:val="Normal"/>
    <w:qFormat/>
    <w:rsid w:val="006C57ED"/>
    <w:pPr>
      <w:ind w:left="567" w:hanging="567"/>
    </w:pPr>
  </w:style>
  <w:style w:type="paragraph" w:customStyle="1" w:styleId="BlockQuote">
    <w:name w:val="Block Quote"/>
    <w:basedOn w:val="Normal"/>
    <w:next w:val="Normal"/>
    <w:uiPriority w:val="9"/>
    <w:unhideWhenUsed/>
    <w:qFormat/>
    <w:rsid w:val="00975FD8"/>
    <w:pPr>
      <w:spacing w:before="100" w:after="100" w:line="240" w:lineRule="auto"/>
    </w:pPr>
    <w:rPr>
      <w:rFonts w:asciiTheme="majorHAnsi" w:eastAsiaTheme="majorEastAsia" w:hAnsiTheme="majorHAnsi" w:cstheme="majorBidi"/>
      <w:bCs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Textoindependiente">
    <w:name w:val="Body Text"/>
    <w:basedOn w:val="Normal"/>
    <w:link w:val="TextoindependienteCar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Fuentedeprrafopredeter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Hipervnculo">
    <w:name w:val="Hyperlink"/>
    <w:basedOn w:val="Fuentedeprrafopredeter"/>
    <w:rsid w:val="00A6715F"/>
    <w:rPr>
      <w:color w:val="0000FF" w:themeColor="hyperlink"/>
      <w:u w:val="single"/>
    </w:rPr>
  </w:style>
  <w:style w:type="character" w:customStyle="1" w:styleId="Ttulo6Car">
    <w:name w:val="Título 6 Car"/>
    <w:basedOn w:val="Fuentedeprrafopredeter"/>
    <w:link w:val="Ttulo6"/>
    <w:rsid w:val="00380EBE"/>
    <w:rPr>
      <w:rFonts w:asciiTheme="majorHAnsi" w:eastAsiaTheme="majorEastAsia" w:hAnsiTheme="majorHAnsi" w:cstheme="majorBidi"/>
      <w:iCs/>
      <w:sz w:val="20"/>
    </w:rPr>
  </w:style>
  <w:style w:type="character" w:customStyle="1" w:styleId="TextoindependienteCar">
    <w:name w:val="Texto independiente Car"/>
    <w:basedOn w:val="Fuentedeprrafopredeter"/>
    <w:link w:val="Textoindependiente"/>
    <w:rsid w:val="00C102C2"/>
    <w:rPr>
      <w:sz w:val="20"/>
    </w:rPr>
  </w:style>
  <w:style w:type="character" w:styleId="Nmerodelnea">
    <w:name w:val="line number"/>
    <w:basedOn w:val="Fuentedeprrafopredeter"/>
    <w:rsid w:val="002A5C4B"/>
  </w:style>
  <w:style w:type="paragraph" w:styleId="Encabezado">
    <w:name w:val="header"/>
    <w:basedOn w:val="Normal"/>
    <w:link w:val="Encabezado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659D1"/>
    <w:rPr>
      <w:sz w:val="20"/>
    </w:rPr>
  </w:style>
  <w:style w:type="paragraph" w:styleId="Piedepgina">
    <w:name w:val="footer"/>
    <w:basedOn w:val="Normal"/>
    <w:link w:val="Piedepgina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659D1"/>
    <w:rPr>
      <w:sz w:val="20"/>
    </w:rPr>
  </w:style>
  <w:style w:type="paragraph" w:styleId="Textodeglobo">
    <w:name w:val="Balloon Text"/>
    <w:basedOn w:val="Normal"/>
    <w:link w:val="TextodegloboCar"/>
    <w:rsid w:val="003659D1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3659D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503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Ciencia reproducible: qué, por qué, cómo (include English title too)</vt:lpstr>
    </vt:vector>
  </TitlesOfParts>
  <Company>Microsoft</Company>
  <LinksUpToDate>false</LinksUpToDate>
  <CharactersWithSpaces>3268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Antonio J.</cp:lastModifiedBy>
  <cp:revision>2</cp:revision>
  <dcterms:created xsi:type="dcterms:W3CDTF">2019-12-10T14:42:00Z</dcterms:created>
  <dcterms:modified xsi:type="dcterms:W3CDTF">2019-12-10T14:49:00Z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../../refs/references.bib</vt:lpwstr>
  </property>
  <property fmtid="{D5CDD505-2E9C-101B-9397-08002B2CF9AE}" pid="3" name="csl">
    <vt:lpwstr>../../refs/ecology.csl</vt:lpwstr>
  </property>
  <property fmtid="{D5CDD505-2E9C-101B-9397-08002B2CF9AE}" pid="4" name="output">
    <vt:lpwstr/>
  </property>
</Properties>
</file>